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0C1C6FA" w:rsidR="00A61D8B"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SEGM to Launch CME-Accredited Series on Evidence-Based Care for Gender-Dysphoric Youth</w:t>
      </w:r>
    </w:p>
    <w:p w14:paraId="00000002" w14:textId="77777777" w:rsidR="00A61D8B" w:rsidRDefault="00A61D8B">
      <w:pPr>
        <w:spacing w:line="240" w:lineRule="auto"/>
        <w:rPr>
          <w:rFonts w:ascii="Times New Roman" w:eastAsia="Times New Roman" w:hAnsi="Times New Roman" w:cs="Times New Roman"/>
          <w:sz w:val="24"/>
          <w:szCs w:val="24"/>
        </w:rPr>
      </w:pPr>
    </w:p>
    <w:p w14:paraId="00000003" w14:textId="13503500" w:rsidR="00A61D8B"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Today, the Society for Evidence-Based Gender Medicine (SEGM) announced the launch of a new Continuing Medical Education (CME) series designed to equip clinicians with the latest evidence, perspectives, and best practices in the care of gender-dysphoric youth.</w:t>
      </w:r>
    </w:p>
    <w:p w14:paraId="00000004" w14:textId="77777777" w:rsidR="00A61D8B" w:rsidRDefault="00A61D8B">
      <w:pPr>
        <w:spacing w:line="240" w:lineRule="auto"/>
        <w:rPr>
          <w:rFonts w:ascii="Times New Roman" w:eastAsia="Times New Roman" w:hAnsi="Times New Roman" w:cs="Times New Roman"/>
          <w:sz w:val="24"/>
          <w:szCs w:val="24"/>
        </w:rPr>
      </w:pPr>
    </w:p>
    <w:p w14:paraId="00000005" w14:textId="16A25F6E" w:rsidR="00A61D8B"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r w:rsidR="003423F3">
        <w:rPr>
          <w:rFonts w:ascii="Times New Roman" w:eastAsia="Times New Roman" w:hAnsi="Times New Roman" w:cs="Times New Roman"/>
          <w:sz w:val="24"/>
          <w:szCs w:val="24"/>
        </w:rPr>
        <w:t>education</w:t>
      </w:r>
      <w:r>
        <w:rPr>
          <w:rFonts w:ascii="Times New Roman" w:eastAsia="Times New Roman" w:hAnsi="Times New Roman" w:cs="Times New Roman"/>
          <w:sz w:val="24"/>
          <w:szCs w:val="24"/>
        </w:rPr>
        <w:t xml:space="preserve">, showcased on SEGM's newly-launched </w:t>
      </w:r>
      <w:r w:rsidR="00081C7F">
        <w:rPr>
          <w:rFonts w:ascii="Times New Roman" w:eastAsia="Times New Roman" w:hAnsi="Times New Roman" w:cs="Times New Roman"/>
          <w:sz w:val="24"/>
          <w:szCs w:val="24"/>
        </w:rPr>
        <w:t xml:space="preserve">CME </w:t>
      </w:r>
      <w:r>
        <w:rPr>
          <w:rFonts w:ascii="Times New Roman" w:eastAsia="Times New Roman" w:hAnsi="Times New Roman" w:cs="Times New Roman"/>
          <w:sz w:val="24"/>
          <w:szCs w:val="24"/>
        </w:rPr>
        <w:t xml:space="preserve">website, </w:t>
      </w:r>
      <w:r w:rsidR="002A5EEB">
        <w:rPr>
          <w:rFonts w:ascii="Times New Roman" w:eastAsia="Times New Roman" w:hAnsi="Times New Roman" w:cs="Times New Roman"/>
          <w:sz w:val="24"/>
          <w:szCs w:val="24"/>
        </w:rPr>
        <w:t xml:space="preserve">marks </w:t>
      </w:r>
      <w:r>
        <w:rPr>
          <w:rFonts w:ascii="Times New Roman" w:eastAsia="Times New Roman" w:hAnsi="Times New Roman" w:cs="Times New Roman"/>
          <w:sz w:val="24"/>
          <w:szCs w:val="24"/>
        </w:rPr>
        <w:t>a</w:t>
      </w:r>
      <w:r w:rsidR="002A5EEB">
        <w:rPr>
          <w:rFonts w:ascii="Times New Roman" w:eastAsia="Times New Roman" w:hAnsi="Times New Roman" w:cs="Times New Roman"/>
          <w:sz w:val="24"/>
          <w:szCs w:val="24"/>
        </w:rPr>
        <w:t>n important</w:t>
      </w:r>
      <w:r>
        <w:rPr>
          <w:rFonts w:ascii="Times New Roman" w:eastAsia="Times New Roman" w:hAnsi="Times New Roman" w:cs="Times New Roman"/>
          <w:sz w:val="24"/>
          <w:szCs w:val="24"/>
        </w:rPr>
        <w:t xml:space="preserve"> milestone in the field of pediatric gender medicine, </w:t>
      </w:r>
      <w:r w:rsidR="002A5EEB">
        <w:rPr>
          <w:rFonts w:ascii="Times New Roman" w:eastAsia="Times New Roman" w:hAnsi="Times New Roman" w:cs="Times New Roman"/>
          <w:sz w:val="24"/>
          <w:szCs w:val="24"/>
        </w:rPr>
        <w:t xml:space="preserve">providing </w:t>
      </w:r>
      <w:r>
        <w:rPr>
          <w:rFonts w:ascii="Times New Roman" w:eastAsia="Times New Roman" w:hAnsi="Times New Roman" w:cs="Times New Roman"/>
          <w:sz w:val="24"/>
          <w:szCs w:val="24"/>
        </w:rPr>
        <w:t>physicians</w:t>
      </w:r>
      <w:r w:rsidR="002A5EEB">
        <w:rPr>
          <w:rFonts w:ascii="Times New Roman" w:eastAsia="Times New Roman" w:hAnsi="Times New Roman" w:cs="Times New Roman"/>
          <w:sz w:val="24"/>
          <w:szCs w:val="24"/>
        </w:rPr>
        <w:t xml:space="preserve"> with</w:t>
      </w:r>
      <w:r>
        <w:rPr>
          <w:rFonts w:ascii="Times New Roman" w:eastAsia="Times New Roman" w:hAnsi="Times New Roman" w:cs="Times New Roman"/>
          <w:sz w:val="24"/>
          <w:szCs w:val="24"/>
        </w:rPr>
        <w:t xml:space="preserve"> a trusted, accredited source for navigating one of the most complex and rapidly evolving areas of clinical practice.</w:t>
      </w:r>
    </w:p>
    <w:p w14:paraId="00000006" w14:textId="77777777" w:rsidR="00A61D8B" w:rsidRDefault="00A61D8B">
      <w:pPr>
        <w:spacing w:line="240" w:lineRule="auto"/>
        <w:rPr>
          <w:rFonts w:ascii="Times New Roman" w:eastAsia="Times New Roman" w:hAnsi="Times New Roman" w:cs="Times New Roman"/>
          <w:sz w:val="24"/>
          <w:szCs w:val="24"/>
        </w:rPr>
      </w:pPr>
    </w:p>
    <w:p w14:paraId="00000007" w14:textId="17508F31" w:rsidR="00A61D8B"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Recent </w:t>
      </w:r>
      <w:r w:rsidR="002A5EEB">
        <w:rPr>
          <w:rFonts w:ascii="Times New Roman" w:eastAsia="Times New Roman" w:hAnsi="Times New Roman" w:cs="Times New Roman"/>
          <w:sz w:val="24"/>
          <w:szCs w:val="24"/>
        </w:rPr>
        <w:t>international reviews have</w:t>
      </w:r>
      <w:r>
        <w:rPr>
          <w:rFonts w:ascii="Times New Roman" w:eastAsia="Times New Roman" w:hAnsi="Times New Roman" w:cs="Times New Roman"/>
          <w:sz w:val="24"/>
          <w:szCs w:val="24"/>
        </w:rPr>
        <w:t xml:space="preserve"> prompted </w:t>
      </w:r>
      <w:r w:rsidR="002A5EEB">
        <w:rPr>
          <w:rFonts w:ascii="Times New Roman" w:eastAsia="Times New Roman" w:hAnsi="Times New Roman" w:cs="Times New Roman"/>
          <w:sz w:val="24"/>
          <w:szCs w:val="24"/>
        </w:rPr>
        <w:t xml:space="preserve">major </w:t>
      </w:r>
      <w:r>
        <w:rPr>
          <w:rFonts w:ascii="Times New Roman" w:eastAsia="Times New Roman" w:hAnsi="Times New Roman" w:cs="Times New Roman"/>
          <w:sz w:val="24"/>
          <w:szCs w:val="24"/>
        </w:rPr>
        <w:t xml:space="preserve">shifts in consensus on safe and effective care for gender-dysphoric youth. This CME series, led by prominent clinical experts and researchers </w:t>
      </w:r>
      <w:r w:rsidR="002A5EEB">
        <w:rPr>
          <w:rFonts w:ascii="Times New Roman" w:eastAsia="Times New Roman" w:hAnsi="Times New Roman" w:cs="Times New Roman"/>
          <w:sz w:val="24"/>
          <w:szCs w:val="24"/>
        </w:rPr>
        <w:t>offers</w:t>
      </w:r>
      <w:r>
        <w:rPr>
          <w:rFonts w:ascii="Times New Roman" w:eastAsia="Times New Roman" w:hAnsi="Times New Roman" w:cs="Times New Roman"/>
          <w:sz w:val="24"/>
          <w:szCs w:val="24"/>
        </w:rPr>
        <w:t xml:space="preserve"> comprehensive guidance on the benefits, risks, and ethical considerations of medical interventions for gender-dysphoric youth. It is designed to support informed, patient-centered decision-making that prioritizes</w:t>
      </w:r>
      <w:r w:rsidR="002A5EEB">
        <w:rPr>
          <w:rFonts w:ascii="Times New Roman" w:eastAsia="Times New Roman" w:hAnsi="Times New Roman" w:cs="Times New Roman"/>
          <w:sz w:val="24"/>
          <w:szCs w:val="24"/>
        </w:rPr>
        <w:t xml:space="preserve"> both</w:t>
      </w:r>
      <w:r>
        <w:rPr>
          <w:rFonts w:ascii="Times New Roman" w:eastAsia="Times New Roman" w:hAnsi="Times New Roman" w:cs="Times New Roman"/>
          <w:sz w:val="24"/>
          <w:szCs w:val="24"/>
        </w:rPr>
        <w:t xml:space="preserve"> safety and informed consent.</w:t>
      </w:r>
    </w:p>
    <w:p w14:paraId="00000008" w14:textId="77777777" w:rsidR="00A61D8B" w:rsidRDefault="00A61D8B">
      <w:pPr>
        <w:spacing w:line="240" w:lineRule="auto"/>
        <w:rPr>
          <w:rFonts w:ascii="Times New Roman" w:eastAsia="Times New Roman" w:hAnsi="Times New Roman" w:cs="Times New Roman"/>
          <w:sz w:val="24"/>
          <w:szCs w:val="24"/>
        </w:rPr>
      </w:pPr>
    </w:p>
    <w:p w14:paraId="00000009" w14:textId="008D3999" w:rsidR="00A61D8B"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Courses are available</w:t>
      </w:r>
      <w:r w:rsidR="00081C7F">
        <w:rPr>
          <w:rFonts w:ascii="Times New Roman" w:eastAsia="Times New Roman" w:hAnsi="Times New Roman" w:cs="Times New Roman"/>
          <w:sz w:val="24"/>
          <w:szCs w:val="24"/>
        </w:rPr>
        <w:t xml:space="preserve"> free of charge</w:t>
      </w:r>
      <w:r>
        <w:rPr>
          <w:rFonts w:ascii="Times New Roman" w:eastAsia="Times New Roman" w:hAnsi="Times New Roman" w:cs="Times New Roman"/>
          <w:sz w:val="24"/>
          <w:szCs w:val="24"/>
        </w:rPr>
        <w:t xml:space="preserve"> </w:t>
      </w:r>
      <w:r w:rsidR="003423F3">
        <w:rPr>
          <w:rFonts w:ascii="Times New Roman" w:eastAsia="Times New Roman" w:hAnsi="Times New Roman" w:cs="Times New Roman"/>
          <w:sz w:val="24"/>
          <w:szCs w:val="24"/>
        </w:rPr>
        <w:t>and are accredited for AMA PRA Category 1 Credits™</w:t>
      </w:r>
      <w:r w:rsidR="00454D77">
        <w:rPr>
          <w:rFonts w:ascii="Times New Roman" w:eastAsia="Times New Roman" w:hAnsi="Times New Roman" w:cs="Times New Roman"/>
          <w:sz w:val="24"/>
          <w:szCs w:val="24"/>
        </w:rPr>
        <w:t xml:space="preserve">. </w:t>
      </w:r>
      <w:r w:rsidR="00CA4BA0" w:rsidRPr="00CA4BA0">
        <w:rPr>
          <w:rFonts w:ascii="Times New Roman" w:eastAsia="Times New Roman" w:hAnsi="Times New Roman" w:cs="Times New Roman"/>
          <w:sz w:val="24"/>
          <w:szCs w:val="24"/>
        </w:rPr>
        <w:t>Th</w:t>
      </w:r>
      <w:r w:rsidR="00CA4BA0">
        <w:rPr>
          <w:rFonts w:ascii="Times New Roman" w:eastAsia="Times New Roman" w:hAnsi="Times New Roman" w:cs="Times New Roman"/>
          <w:sz w:val="24"/>
          <w:szCs w:val="24"/>
        </w:rPr>
        <w:t xml:space="preserve">e courses are </w:t>
      </w:r>
      <w:r w:rsidR="00CA4BA0" w:rsidRPr="00CA4BA0">
        <w:rPr>
          <w:rFonts w:ascii="Times New Roman" w:eastAsia="Times New Roman" w:hAnsi="Times New Roman" w:cs="Times New Roman"/>
          <w:sz w:val="24"/>
          <w:szCs w:val="24"/>
        </w:rPr>
        <w:t xml:space="preserve">planned and implemented in accordance with the accreditation requirements and policies of the Accreditation Council for Continuing Medical Education (ACCME) through the joint providership of the Washington State University (WSU) Elson S. Floyd College of Medicine and </w:t>
      </w:r>
      <w:r w:rsidR="00822026">
        <w:rPr>
          <w:rFonts w:ascii="Times New Roman" w:eastAsia="Times New Roman" w:hAnsi="Times New Roman" w:cs="Times New Roman"/>
          <w:sz w:val="24"/>
          <w:szCs w:val="24"/>
        </w:rPr>
        <w:t>SEGM.</w:t>
      </w:r>
      <w:r w:rsidR="00256A5B">
        <w:rPr>
          <w:rFonts w:ascii="Times New Roman" w:eastAsia="Times New Roman" w:hAnsi="Times New Roman" w:cs="Times New Roman"/>
          <w:sz w:val="24"/>
          <w:szCs w:val="24"/>
        </w:rPr>
        <w:t xml:space="preserve"> </w:t>
      </w:r>
      <w:r w:rsidR="00EA0B46">
        <w:rPr>
          <w:rFonts w:ascii="Times New Roman" w:eastAsia="Times New Roman" w:hAnsi="Times New Roman" w:cs="Times New Roman"/>
          <w:sz w:val="24"/>
          <w:szCs w:val="24"/>
        </w:rPr>
        <w:t xml:space="preserve">While the </w:t>
      </w:r>
      <w:r w:rsidR="00031B1B">
        <w:rPr>
          <w:rFonts w:ascii="Times New Roman" w:eastAsia="Times New Roman" w:hAnsi="Times New Roman" w:cs="Times New Roman"/>
          <w:sz w:val="24"/>
          <w:szCs w:val="24"/>
        </w:rPr>
        <w:t xml:space="preserve">courses are </w:t>
      </w:r>
      <w:r w:rsidR="00EA0B46">
        <w:rPr>
          <w:rFonts w:ascii="Times New Roman" w:eastAsia="Times New Roman" w:hAnsi="Times New Roman" w:cs="Times New Roman"/>
          <w:sz w:val="24"/>
          <w:szCs w:val="24"/>
        </w:rPr>
        <w:t xml:space="preserve">accredited by WSU, the content and </w:t>
      </w:r>
      <w:r w:rsidR="00031B1B">
        <w:rPr>
          <w:rFonts w:ascii="Times New Roman" w:eastAsia="Times New Roman" w:hAnsi="Times New Roman" w:cs="Times New Roman"/>
          <w:sz w:val="24"/>
          <w:szCs w:val="24"/>
        </w:rPr>
        <w:t>educational materials</w:t>
      </w:r>
      <w:r w:rsidR="00EA0B46">
        <w:rPr>
          <w:rFonts w:ascii="Times New Roman" w:eastAsia="Times New Roman" w:hAnsi="Times New Roman" w:cs="Times New Roman"/>
          <w:sz w:val="24"/>
          <w:szCs w:val="24"/>
        </w:rPr>
        <w:t xml:space="preserve"> presented belong to the authors and </w:t>
      </w:r>
      <w:r w:rsidR="00135AB8">
        <w:rPr>
          <w:rFonts w:ascii="Times New Roman" w:eastAsia="Times New Roman" w:hAnsi="Times New Roman" w:cs="Times New Roman"/>
          <w:sz w:val="24"/>
          <w:szCs w:val="24"/>
        </w:rPr>
        <w:t xml:space="preserve">do not represent </w:t>
      </w:r>
      <w:r w:rsidR="00031B1B">
        <w:rPr>
          <w:rFonts w:ascii="Times New Roman" w:eastAsia="Times New Roman" w:hAnsi="Times New Roman" w:cs="Times New Roman"/>
          <w:sz w:val="24"/>
          <w:szCs w:val="24"/>
        </w:rPr>
        <w:t>Washingto</w:t>
      </w:r>
      <w:r w:rsidR="00C82614">
        <w:rPr>
          <w:rFonts w:ascii="Times New Roman" w:eastAsia="Times New Roman" w:hAnsi="Times New Roman" w:cs="Times New Roman"/>
          <w:sz w:val="24"/>
          <w:szCs w:val="24"/>
        </w:rPr>
        <w:t>n State University</w:t>
      </w:r>
      <w:r>
        <w:rPr>
          <w:rFonts w:ascii="Times New Roman" w:eastAsia="Times New Roman" w:hAnsi="Times New Roman" w:cs="Times New Roman"/>
          <w:sz w:val="24"/>
          <w:szCs w:val="24"/>
        </w:rPr>
        <w:t>. For broader accessibility, the video lectures are also</w:t>
      </w:r>
      <w:r w:rsidR="00081C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available on SEGM’s website for clinicians and members of the public who wish to engage with the </w:t>
      </w:r>
      <w:r w:rsidR="002A5EEB">
        <w:rPr>
          <w:rFonts w:ascii="Times New Roman" w:eastAsia="Times New Roman" w:hAnsi="Times New Roman" w:cs="Times New Roman"/>
          <w:sz w:val="24"/>
          <w:szCs w:val="24"/>
        </w:rPr>
        <w:t xml:space="preserve">material </w:t>
      </w:r>
      <w:r>
        <w:rPr>
          <w:rFonts w:ascii="Times New Roman" w:eastAsia="Times New Roman" w:hAnsi="Times New Roman" w:cs="Times New Roman"/>
          <w:sz w:val="24"/>
          <w:szCs w:val="24"/>
        </w:rPr>
        <w:t>without pursuing CME credit.</w:t>
      </w:r>
    </w:p>
    <w:p w14:paraId="0000000A" w14:textId="77777777" w:rsidR="00A61D8B" w:rsidRDefault="00A61D8B">
      <w:pPr>
        <w:spacing w:line="240" w:lineRule="auto"/>
        <w:rPr>
          <w:rFonts w:ascii="Times New Roman" w:eastAsia="Times New Roman" w:hAnsi="Times New Roman" w:cs="Times New Roman"/>
          <w:sz w:val="24"/>
          <w:szCs w:val="24"/>
        </w:rPr>
      </w:pPr>
    </w:p>
    <w:p w14:paraId="0000000B" w14:textId="77777777" w:rsidR="00A61D8B"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educational series fills a critical gap for clinicians who are striving to provide the highest quality care in a rapidly changing field, said Dr. Julia Mason, a board-certified pediatrician and Fellow of the American Academy of Pediatrics, issued the following statement. "Physicians deserve access to evidence-based resources that help them guide patients through complex decisions with confidence and compassion. We’re thrilled to see such an academically rigorous program available to support sound medical judgment and patient safety."</w:t>
      </w:r>
    </w:p>
    <w:p w14:paraId="6EADA9B8" w14:textId="77777777" w:rsidR="002A5EEB" w:rsidRDefault="002A5EEB">
      <w:pPr>
        <w:spacing w:line="240" w:lineRule="auto"/>
        <w:rPr>
          <w:rFonts w:ascii="Times New Roman" w:eastAsia="Times New Roman" w:hAnsi="Times New Roman" w:cs="Times New Roman"/>
          <w:sz w:val="24"/>
          <w:szCs w:val="24"/>
        </w:rPr>
      </w:pPr>
    </w:p>
    <w:p w14:paraId="0000000F" w14:textId="2A522E11" w:rsidR="00A61D8B"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the evidence in gender medicine continues to evolve, it is essential that clinicians remain grounded in science and ethics," added Dr. William Malone, a board-certified endocrinologist. This CME program offers a much-needed forum for understanding the full scope of international research and clinical experience. We’re excited to give </w:t>
      </w:r>
      <w:r w:rsidR="002A5EEB">
        <w:rPr>
          <w:rFonts w:ascii="Times New Roman" w:eastAsia="Times New Roman" w:hAnsi="Times New Roman" w:cs="Times New Roman"/>
          <w:sz w:val="24"/>
          <w:szCs w:val="24"/>
        </w:rPr>
        <w:t xml:space="preserve">physicians </w:t>
      </w:r>
      <w:r>
        <w:rPr>
          <w:rFonts w:ascii="Times New Roman" w:eastAsia="Times New Roman" w:hAnsi="Times New Roman" w:cs="Times New Roman"/>
          <w:sz w:val="24"/>
          <w:szCs w:val="24"/>
        </w:rPr>
        <w:t xml:space="preserve">and </w:t>
      </w:r>
      <w:r w:rsidR="002A5EEB">
        <w:rPr>
          <w:rFonts w:ascii="Times New Roman" w:eastAsia="Times New Roman" w:hAnsi="Times New Roman" w:cs="Times New Roman"/>
          <w:sz w:val="24"/>
          <w:szCs w:val="24"/>
        </w:rPr>
        <w:t xml:space="preserve">other </w:t>
      </w:r>
      <w:r>
        <w:rPr>
          <w:rFonts w:ascii="Times New Roman" w:eastAsia="Times New Roman" w:hAnsi="Times New Roman" w:cs="Times New Roman"/>
          <w:sz w:val="24"/>
          <w:szCs w:val="24"/>
        </w:rPr>
        <w:t>healthcare professionals a trusted place to learn, reflect, and refine their approach to caring for a uniquely vulnerable population."</w:t>
      </w:r>
    </w:p>
    <w:p w14:paraId="00000010" w14:textId="77777777" w:rsidR="00A61D8B" w:rsidRDefault="00A61D8B">
      <w:pPr>
        <w:spacing w:line="240" w:lineRule="auto"/>
        <w:rPr>
          <w:rFonts w:ascii="Times New Roman" w:eastAsia="Times New Roman" w:hAnsi="Times New Roman" w:cs="Times New Roman"/>
          <w:sz w:val="24"/>
          <w:szCs w:val="24"/>
        </w:rPr>
      </w:pPr>
    </w:p>
    <w:p w14:paraId="00000011" w14:textId="77777777" w:rsidR="00A61D8B"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current CME courses offered include: </w:t>
      </w:r>
    </w:p>
    <w:p w14:paraId="00000012" w14:textId="77777777" w:rsidR="00A61D8B" w:rsidRDefault="00A61D8B">
      <w:pPr>
        <w:spacing w:line="240" w:lineRule="auto"/>
        <w:rPr>
          <w:rFonts w:ascii="Times New Roman" w:eastAsia="Times New Roman" w:hAnsi="Times New Roman" w:cs="Times New Roman"/>
          <w:sz w:val="24"/>
          <w:szCs w:val="24"/>
        </w:rPr>
      </w:pPr>
    </w:p>
    <w:p w14:paraId="00000013" w14:textId="77777777" w:rsidR="00A61D8B"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Transgender Identities and the Brain: What Do We Know?</w:t>
      </w:r>
    </w:p>
    <w:p w14:paraId="00000014" w14:textId="77777777" w:rsidR="00A61D8B"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History: How Problems in Adult Gender Medicine Launched Pediatric Transitions</w:t>
      </w:r>
    </w:p>
    <w:p w14:paraId="00000015" w14:textId="77777777" w:rsidR="00A61D8B"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Gender Dysphoria: The Role of Social and Cultural Context in the 21st Century</w:t>
      </w:r>
    </w:p>
    <w:p w14:paraId="00000016" w14:textId="77777777" w:rsidR="00A61D8B"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Misconceptions in Youth Gender Medicine</w:t>
      </w:r>
    </w:p>
    <w:p w14:paraId="00000018" w14:textId="179D7BE6" w:rsidR="00A61D8B" w:rsidRPr="007E30FF" w:rsidRDefault="00000000" w:rsidP="007E30FF">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Gender Dysphoria Treatment Guidelines: Assessment of Trustworthiness</w:t>
      </w:r>
    </w:p>
    <w:p w14:paraId="00000019" w14:textId="77777777" w:rsidR="00A61D8B"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Managing Gender Dysphoria in Youth: European Practice Changes</w:t>
      </w:r>
    </w:p>
    <w:p w14:paraId="0000001A" w14:textId="77777777" w:rsidR="00A61D8B"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Hormonal Interventions for Gender Dysphoria in Minors: International Debate</w:t>
      </w:r>
    </w:p>
    <w:p w14:paraId="0000001B" w14:textId="77777777" w:rsidR="00A61D8B" w:rsidRDefault="00A61D8B">
      <w:pPr>
        <w:spacing w:line="240" w:lineRule="auto"/>
        <w:rPr>
          <w:rFonts w:ascii="Times New Roman" w:eastAsia="Times New Roman" w:hAnsi="Times New Roman" w:cs="Times New Roman"/>
          <w:sz w:val="24"/>
          <w:szCs w:val="24"/>
        </w:rPr>
      </w:pPr>
    </w:p>
    <w:p w14:paraId="0000001C" w14:textId="77777777" w:rsidR="00A61D8B"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Learn more about the CME courses here.</w:t>
      </w:r>
    </w:p>
    <w:p w14:paraId="0000001D" w14:textId="77777777" w:rsidR="00A61D8B" w:rsidRDefault="00A61D8B">
      <w:pPr>
        <w:spacing w:line="240" w:lineRule="auto"/>
        <w:rPr>
          <w:rFonts w:ascii="Times New Roman" w:eastAsia="Times New Roman" w:hAnsi="Times New Roman" w:cs="Times New Roman"/>
          <w:sz w:val="24"/>
          <w:szCs w:val="24"/>
        </w:rPr>
      </w:pPr>
    </w:p>
    <w:p w14:paraId="0000001E" w14:textId="6CA26C89" w:rsidR="00A61D8B" w:rsidRDefault="00000000">
      <w:pPr>
        <w:spacing w:line="240" w:lineRule="auto"/>
        <w:rPr>
          <w:rFonts w:ascii="Times New Roman" w:eastAsia="Times New Roman" w:hAnsi="Times New Roman" w:cs="Times New Roman"/>
          <w:sz w:val="24"/>
          <w:szCs w:val="24"/>
        </w:rPr>
      </w:pPr>
      <w:r w:rsidRPr="007E30FF">
        <w:rPr>
          <w:rFonts w:ascii="Times New Roman" w:eastAsia="Times New Roman" w:hAnsi="Times New Roman" w:cs="Times New Roman"/>
          <w:b/>
          <w:bCs/>
          <w:sz w:val="24"/>
          <w:szCs w:val="24"/>
        </w:rPr>
        <w:t>About the Society for Evidence-Based Gender Medicine</w:t>
      </w:r>
      <w:r w:rsidRPr="007E30FF">
        <w:rPr>
          <w:rFonts w:ascii="Times New Roman" w:eastAsia="Times New Roman" w:hAnsi="Times New Roman" w:cs="Times New Roman"/>
          <w:sz w:val="24"/>
          <w:szCs w:val="24"/>
        </w:rPr>
        <w:t xml:space="preserve"> (SEGM)</w:t>
      </w:r>
      <w:r>
        <w:rPr>
          <w:rFonts w:ascii="Times New Roman" w:eastAsia="Times New Roman" w:hAnsi="Times New Roman" w:cs="Times New Roman"/>
          <w:sz w:val="24"/>
          <w:szCs w:val="24"/>
        </w:rPr>
        <w:t xml:space="preserve">: </w:t>
      </w:r>
      <w:r w:rsidR="002A5EEB" w:rsidRPr="007E30FF">
        <w:rPr>
          <w:rFonts w:ascii="Times New Roman" w:eastAsia="Times New Roman" w:hAnsi="Times New Roman" w:cs="Times New Roman"/>
          <w:sz w:val="24"/>
          <w:szCs w:val="24"/>
        </w:rPr>
        <w:t>The Society for Evidence-Based Gender Medicine (SEGM) is a 501(c)(3) nonprofit dedicated to promoting safe, ethical, and evidence-informed care for children, adolescents, and young adults with gender dysphoria. SEGM works with clinicians and researchers worldwide to strengthen the evidence base, improve clinical practice, and foster transparent, science-driven dialogue in the field of gender medicine. </w:t>
      </w:r>
      <w:hyperlink r:id="rId5" w:tgtFrame="_new" w:history="1">
        <w:r w:rsidR="002A5EEB" w:rsidRPr="007E30FF">
          <w:rPr>
            <w:rFonts w:ascii="Times New Roman" w:eastAsia="Times New Roman" w:hAnsi="Times New Roman" w:cs="Times New Roman"/>
            <w:sz w:val="24"/>
            <w:szCs w:val="24"/>
          </w:rPr>
          <w:t>www.segm.org</w:t>
        </w:r>
      </w:hyperlink>
    </w:p>
    <w:sectPr w:rsidR="00A61D8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CE3604"/>
    <w:multiLevelType w:val="multilevel"/>
    <w:tmpl w:val="045A7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23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D8B"/>
    <w:rsid w:val="00031B1B"/>
    <w:rsid w:val="00043CB8"/>
    <w:rsid w:val="00064CF7"/>
    <w:rsid w:val="00081C7F"/>
    <w:rsid w:val="00135AB8"/>
    <w:rsid w:val="00256A5B"/>
    <w:rsid w:val="002A5EEB"/>
    <w:rsid w:val="003423F3"/>
    <w:rsid w:val="004052DC"/>
    <w:rsid w:val="00454D77"/>
    <w:rsid w:val="00780887"/>
    <w:rsid w:val="007E30FF"/>
    <w:rsid w:val="00822026"/>
    <w:rsid w:val="00964450"/>
    <w:rsid w:val="009E705B"/>
    <w:rsid w:val="00A61D8B"/>
    <w:rsid w:val="00B90509"/>
    <w:rsid w:val="00C00E60"/>
    <w:rsid w:val="00C13D52"/>
    <w:rsid w:val="00C47D05"/>
    <w:rsid w:val="00C82614"/>
    <w:rsid w:val="00CA4BA0"/>
    <w:rsid w:val="00CB5676"/>
    <w:rsid w:val="00DE76D1"/>
    <w:rsid w:val="00E47E7D"/>
    <w:rsid w:val="00E7697B"/>
    <w:rsid w:val="00E97514"/>
    <w:rsid w:val="00EA0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84B31"/>
  <w15:docId w15:val="{D7CA1AF3-CF50-134C-B4F2-8E30ABD34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A5EEB"/>
    <w:pPr>
      <w:spacing w:line="240" w:lineRule="auto"/>
    </w:pPr>
  </w:style>
  <w:style w:type="character" w:styleId="Emphasis">
    <w:name w:val="Emphasis"/>
    <w:basedOn w:val="DefaultParagraphFont"/>
    <w:uiPriority w:val="20"/>
    <w:qFormat/>
    <w:rsid w:val="002A5EEB"/>
    <w:rPr>
      <w:i/>
      <w:iCs/>
    </w:rPr>
  </w:style>
  <w:style w:type="character" w:customStyle="1" w:styleId="apple-converted-space">
    <w:name w:val="apple-converted-space"/>
    <w:basedOn w:val="DefaultParagraphFont"/>
    <w:rsid w:val="002A5EEB"/>
  </w:style>
  <w:style w:type="character" w:styleId="Strong">
    <w:name w:val="Strong"/>
    <w:basedOn w:val="DefaultParagraphFont"/>
    <w:uiPriority w:val="22"/>
    <w:qFormat/>
    <w:rsid w:val="002A5EEB"/>
    <w:rPr>
      <w:b/>
      <w:bCs/>
    </w:rPr>
  </w:style>
  <w:style w:type="character" w:styleId="Hyperlink">
    <w:name w:val="Hyperlink"/>
    <w:basedOn w:val="DefaultParagraphFont"/>
    <w:uiPriority w:val="99"/>
    <w:semiHidden/>
    <w:unhideWhenUsed/>
    <w:rsid w:val="002A5E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gm.org/?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587</Words>
  <Characters>3350</Characters>
  <Application>Microsoft Office Word</Application>
  <DocSecurity>0</DocSecurity>
  <Lines>27</Lines>
  <Paragraphs>7</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Martín Endara</cp:lastModifiedBy>
  <cp:revision>22</cp:revision>
  <dcterms:created xsi:type="dcterms:W3CDTF">2025-09-30T23:03:00Z</dcterms:created>
  <dcterms:modified xsi:type="dcterms:W3CDTF">2025-10-02T10:30:00Z</dcterms:modified>
</cp:coreProperties>
</file>